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76"/>
        <w:ind w:left="4485" w:right="4469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Prefeitura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Municipal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Esteio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Consolidação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Total</w:t>
      </w:r>
      <w:r>
        <w:rPr>
          <w:rFonts w:ascii="Times New Roman" w:hAnsi="Times New Roman"/>
          <w:b/>
          <w:i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LEI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DIRETRIZES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ORÇAMENTÁRIAS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METAS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pStyle w:val="BodyText"/>
        <w:spacing w:before="1"/>
        <w:ind w:left="14"/>
        <w:jc w:val="center"/>
      </w:pPr>
      <w:r>
        <w:rPr>
          <w:spacing w:val="-2"/>
        </w:rPr>
        <w:t>AVALIAÇÃO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2"/>
        </w:rPr>
        <w:t> </w:t>
      </w:r>
      <w:r>
        <w:rPr>
          <w:spacing w:val="-2"/>
        </w:rPr>
        <w:t>CUMPRIMENTO</w:t>
      </w:r>
      <w:r>
        <w:rPr>
          <w:spacing w:val="1"/>
        </w:rPr>
        <w:t> </w:t>
      </w:r>
      <w:r>
        <w:rPr>
          <w:spacing w:val="-2"/>
        </w:rPr>
        <w:t>DAS</w:t>
      </w:r>
      <w:r>
        <w:rPr/>
        <w:t> </w:t>
      </w:r>
      <w:r>
        <w:rPr>
          <w:spacing w:val="-2"/>
        </w:rPr>
        <w:t>METAS</w:t>
      </w:r>
      <w:r>
        <w:rPr>
          <w:spacing w:val="-1"/>
        </w:rPr>
        <w:t> </w:t>
      </w:r>
      <w:r>
        <w:rPr>
          <w:spacing w:val="-2"/>
        </w:rPr>
        <w:t>FISCAIS</w:t>
      </w:r>
      <w:r>
        <w:rPr/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2"/>
        </w:rPr>
        <w:t>EXERCÍCIO</w:t>
      </w:r>
      <w:r>
        <w:rPr>
          <w:spacing w:val="-10"/>
        </w:rPr>
        <w:t> </w:t>
      </w:r>
      <w:r>
        <w:rPr>
          <w:spacing w:val="-2"/>
        </w:rPr>
        <w:t>ANTERIOR</w:t>
      </w:r>
    </w:p>
    <w:p>
      <w:pPr>
        <w:spacing w:before="91"/>
        <w:ind w:left="12" w:right="0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Exercício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2023</w:t>
      </w:r>
    </w:p>
    <w:p>
      <w:pPr>
        <w:pStyle w:val="BodyText"/>
        <w:spacing w:before="0"/>
        <w:rPr>
          <w:i/>
          <w:sz w:val="22"/>
        </w:rPr>
      </w:pPr>
    </w:p>
    <w:p>
      <w:pPr>
        <w:pStyle w:val="BodyText"/>
        <w:spacing w:before="5"/>
        <w:rPr>
          <w:i/>
          <w:sz w:val="32"/>
        </w:rPr>
      </w:pPr>
    </w:p>
    <w:p>
      <w:pPr>
        <w:tabs>
          <w:tab w:pos="12476" w:val="left" w:leader="none"/>
        </w:tabs>
        <w:spacing w:before="0"/>
        <w:ind w:left="10" w:right="0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"/>
          <w:sz w:val="14"/>
        </w:rPr>
        <w:t>AMF</w:t>
      </w:r>
      <w:r>
        <w:rPr>
          <w:rFonts w:ascii="Times New Roman" w:hAnsi="Times New Roman"/>
          <w:spacing w:val="-8"/>
          <w:sz w:val="14"/>
        </w:rPr>
        <w:t> </w:t>
      </w:r>
      <w:r>
        <w:rPr>
          <w:rFonts w:ascii="Times New Roman" w:hAnsi="Times New Roman"/>
          <w:spacing w:val="-1"/>
          <w:sz w:val="14"/>
        </w:rPr>
        <w:t>-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pacing w:val="-1"/>
          <w:sz w:val="14"/>
        </w:rPr>
        <w:t>Demonstrativo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II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(LRF,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art.4º,§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2º,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inciso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I)</w:t>
        <w:tab/>
        <w:t>R$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Reais</w:t>
      </w:r>
    </w:p>
    <w:p>
      <w:pPr>
        <w:pStyle w:val="BodyText"/>
        <w:rPr>
          <w:b w:val="0"/>
          <w:sz w:val="13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920"/>
        <w:gridCol w:w="960"/>
        <w:gridCol w:w="960"/>
        <w:gridCol w:w="1920"/>
        <w:gridCol w:w="960"/>
        <w:gridCol w:w="960"/>
        <w:gridCol w:w="1920"/>
        <w:gridCol w:w="955"/>
      </w:tblGrid>
      <w:tr>
        <w:trPr>
          <w:trHeight w:val="224" w:hRule="atLeast"/>
        </w:trPr>
        <w:tc>
          <w:tcPr>
            <w:tcW w:w="2431" w:type="dxa"/>
            <w:vMerge w:val="restart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10555" w:type="dxa"/>
            <w:gridSpan w:val="8"/>
            <w:shd w:val="clear" w:color="auto" w:fill="F0F0F0"/>
          </w:tcPr>
          <w:p>
            <w:pPr>
              <w:pStyle w:val="TableParagraph"/>
              <w:spacing w:line="180" w:lineRule="exact" w:before="25"/>
              <w:ind w:left="5079" w:right="50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224" w:hRule="atLeast"/>
        </w:trPr>
        <w:tc>
          <w:tcPr>
            <w:tcW w:w="2431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shd w:val="clear" w:color="auto" w:fill="F0F0F0"/>
          </w:tcPr>
          <w:p>
            <w:pPr>
              <w:pStyle w:val="TableParagraph"/>
              <w:spacing w:line="244" w:lineRule="auto" w:before="22"/>
              <w:ind w:left="242" w:right="1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Metas Previstas em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  <w:p>
            <w:pPr>
              <w:pStyle w:val="TableParagraph"/>
              <w:spacing w:before="52"/>
              <w:ind w:left="193" w:right="168"/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960" w:type="dxa"/>
            <w:vMerge w:val="restart"/>
            <w:shd w:val="clear" w:color="auto" w:fill="F0F0F0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68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 PIB</w:t>
            </w:r>
          </w:p>
          <w:p>
            <w:pPr>
              <w:pStyle w:val="TableParagraph"/>
              <w:spacing w:before="32"/>
              <w:ind w:left="68" w:right="41"/>
              <w:jc w:val="center"/>
              <w:rPr>
                <w:sz w:val="14"/>
              </w:rPr>
            </w:pPr>
            <w:r>
              <w:rPr>
                <w:sz w:val="14"/>
              </w:rPr>
              <w:t>(a/PIB)x100</w:t>
            </w:r>
          </w:p>
        </w:tc>
        <w:tc>
          <w:tcPr>
            <w:tcW w:w="960" w:type="dxa"/>
            <w:vMerge w:val="restart"/>
            <w:shd w:val="clear" w:color="auto" w:fill="F0F0F0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68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RCL</w:t>
            </w:r>
          </w:p>
          <w:p>
            <w:pPr>
              <w:pStyle w:val="TableParagraph"/>
              <w:spacing w:before="32"/>
              <w:ind w:left="68" w:right="43"/>
              <w:jc w:val="center"/>
              <w:rPr>
                <w:sz w:val="14"/>
              </w:rPr>
            </w:pPr>
            <w:r>
              <w:rPr>
                <w:sz w:val="14"/>
              </w:rPr>
              <w:t>(a/RCL)x100</w:t>
            </w:r>
          </w:p>
        </w:tc>
        <w:tc>
          <w:tcPr>
            <w:tcW w:w="1920" w:type="dxa"/>
            <w:vMerge w:val="restart"/>
            <w:shd w:val="clear" w:color="auto" w:fill="F0F0F0"/>
          </w:tcPr>
          <w:p>
            <w:pPr>
              <w:pStyle w:val="TableParagraph"/>
              <w:spacing w:line="244" w:lineRule="auto" w:before="22"/>
              <w:ind w:left="242" w:right="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Metas Realizadas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  <w:p>
            <w:pPr>
              <w:pStyle w:val="TableParagraph"/>
              <w:spacing w:before="52"/>
              <w:ind w:left="193" w:right="168"/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960" w:type="dxa"/>
            <w:vMerge w:val="restart"/>
            <w:shd w:val="clear" w:color="auto" w:fill="F0F0F0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68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 PIB</w:t>
            </w:r>
          </w:p>
          <w:p>
            <w:pPr>
              <w:pStyle w:val="TableParagraph"/>
              <w:spacing w:before="32"/>
              <w:ind w:left="68" w:right="41"/>
              <w:jc w:val="center"/>
              <w:rPr>
                <w:sz w:val="14"/>
              </w:rPr>
            </w:pPr>
            <w:r>
              <w:rPr>
                <w:sz w:val="14"/>
              </w:rPr>
              <w:t>(b/PIB)x100</w:t>
            </w:r>
          </w:p>
        </w:tc>
        <w:tc>
          <w:tcPr>
            <w:tcW w:w="960" w:type="dxa"/>
            <w:vMerge w:val="restart"/>
            <w:shd w:val="clear" w:color="auto" w:fill="F0F0F0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68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RCL</w:t>
            </w:r>
          </w:p>
          <w:p>
            <w:pPr>
              <w:pStyle w:val="TableParagraph"/>
              <w:spacing w:before="32"/>
              <w:ind w:left="68" w:right="43"/>
              <w:jc w:val="center"/>
              <w:rPr>
                <w:sz w:val="14"/>
              </w:rPr>
            </w:pPr>
            <w:r>
              <w:rPr>
                <w:sz w:val="14"/>
              </w:rPr>
              <w:t>(b/RCL)x100</w:t>
            </w:r>
          </w:p>
        </w:tc>
        <w:tc>
          <w:tcPr>
            <w:tcW w:w="2875" w:type="dxa"/>
            <w:gridSpan w:val="2"/>
            <w:shd w:val="clear" w:color="auto" w:fill="F0F0F0"/>
          </w:tcPr>
          <w:p>
            <w:pPr>
              <w:pStyle w:val="TableParagraph"/>
              <w:spacing w:line="173" w:lineRule="exact" w:before="32"/>
              <w:ind w:left="1091" w:right="10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Variação</w:t>
            </w:r>
          </w:p>
        </w:tc>
      </w:tr>
      <w:tr>
        <w:trPr>
          <w:trHeight w:val="416" w:hRule="atLeast"/>
        </w:trPr>
        <w:tc>
          <w:tcPr>
            <w:tcW w:w="2431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F0F0F0"/>
          </w:tcPr>
          <w:p>
            <w:pPr>
              <w:pStyle w:val="TableParagraph"/>
              <w:spacing w:line="178" w:lineRule="exact" w:before="0"/>
              <w:ind w:left="192" w:right="1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  <w:p>
            <w:pPr>
              <w:pStyle w:val="TableParagraph"/>
              <w:spacing w:before="31"/>
              <w:ind w:left="193" w:right="168"/>
              <w:jc w:val="center"/>
              <w:rPr>
                <w:sz w:val="14"/>
              </w:rPr>
            </w:pPr>
            <w:r>
              <w:rPr>
                <w:sz w:val="14"/>
              </w:rPr>
              <w:t>(c)=(b-a)</w:t>
            </w:r>
          </w:p>
        </w:tc>
        <w:tc>
          <w:tcPr>
            <w:tcW w:w="955" w:type="dxa"/>
            <w:shd w:val="clear" w:color="auto" w:fill="F0F0F0"/>
          </w:tcPr>
          <w:p>
            <w:pPr>
              <w:pStyle w:val="TableParagraph"/>
              <w:spacing w:line="178" w:lineRule="exact" w:before="0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%</w:t>
            </w:r>
          </w:p>
          <w:p>
            <w:pPr>
              <w:pStyle w:val="TableParagraph"/>
              <w:spacing w:before="31"/>
              <w:ind w:left="174" w:right="142"/>
              <w:jc w:val="center"/>
              <w:rPr>
                <w:sz w:val="14"/>
              </w:rPr>
            </w:pPr>
            <w:r>
              <w:rPr>
                <w:sz w:val="14"/>
              </w:rPr>
              <w:t>(c/a)x100</w:t>
            </w:r>
          </w:p>
        </w:tc>
      </w:tr>
      <w:tr>
        <w:trPr>
          <w:trHeight w:val="360" w:hRule="atLeast"/>
        </w:trPr>
        <w:tc>
          <w:tcPr>
            <w:tcW w:w="24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9"/>
              <w:ind w:left="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315.488.816,58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0,061%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82,706%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400.058.476,31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0,069%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104,876%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84.569.659,73</w:t>
            </w:r>
          </w:p>
        </w:tc>
        <w:tc>
          <w:tcPr>
            <w:tcW w:w="9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26,806%</w:t>
            </w:r>
          </w:p>
        </w:tc>
      </w:tr>
      <w:tr>
        <w:trPr>
          <w:trHeight w:val="315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Primárias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(I)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307.649.666,58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0,060%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80,651%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384.195.086,44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0,066%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100,718%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76.545.419,86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24,881%</w:t>
            </w:r>
          </w:p>
        </w:tc>
      </w:tr>
      <w:tr>
        <w:trPr>
          <w:trHeight w:val="315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331.153.816,58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0,064%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86,813%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357.068.458,85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0,061%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93,606%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25.914.642,27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7,826%</w:t>
            </w:r>
          </w:p>
        </w:tc>
      </w:tr>
      <w:tr>
        <w:trPr>
          <w:trHeight w:val="314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Primárias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(II)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309.364.922,09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0,060%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81,101%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352.961.073,64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0,061%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92,530%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43.596.151,55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14,092%</w:t>
            </w:r>
          </w:p>
        </w:tc>
      </w:tr>
      <w:tr>
        <w:trPr>
          <w:trHeight w:val="314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 Primário (III)=(I-II)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-1.715.255,51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-0,000%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-0,450%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31.234.012,80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0,005%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8,188%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32.949.268,31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-1920,954%</w:t>
            </w:r>
          </w:p>
        </w:tc>
      </w:tr>
      <w:tr>
        <w:trPr>
          <w:trHeight w:val="315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Resultado Nominal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-1.715.255,51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-0,000%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-0,450%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31.234.012,80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0,005%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8,188%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32.949.268,31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-1920,954%</w:t>
            </w:r>
          </w:p>
        </w:tc>
      </w:tr>
      <w:tr>
        <w:trPr>
          <w:trHeight w:val="315" w:hRule="atLeast"/>
        </w:trPr>
        <w:tc>
          <w:tcPr>
            <w:tcW w:w="2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4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Dív.Pública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Consolidada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sz w:val="16"/>
              </w:rPr>
            </w:pPr>
            <w:r>
              <w:rPr>
                <w:sz w:val="16"/>
              </w:rPr>
              <w:t>55.843.242,87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0,011%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14,639%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sz w:val="16"/>
              </w:rPr>
            </w:pPr>
            <w:r>
              <w:rPr>
                <w:sz w:val="16"/>
              </w:rPr>
              <w:t>42.548.511,19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0,007%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11,154%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30"/>
              <w:rPr>
                <w:sz w:val="16"/>
              </w:rPr>
            </w:pPr>
            <w:r>
              <w:rPr>
                <w:sz w:val="16"/>
              </w:rPr>
              <w:t>-13.294.731,68</w:t>
            </w:r>
          </w:p>
        </w:tc>
        <w:tc>
          <w:tcPr>
            <w:tcW w:w="95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3"/>
              <w:rPr>
                <w:sz w:val="16"/>
              </w:rPr>
            </w:pPr>
            <w:r>
              <w:rPr>
                <w:sz w:val="16"/>
              </w:rPr>
              <w:t>-23,807%</w:t>
            </w:r>
          </w:p>
        </w:tc>
      </w:tr>
      <w:tr>
        <w:trPr>
          <w:trHeight w:val="347" w:hRule="atLeast"/>
        </w:trPr>
        <w:tc>
          <w:tcPr>
            <w:tcW w:w="2431" w:type="dxa"/>
            <w:tcBorders>
              <w:top w:val="nil"/>
              <w:left w:val="nil"/>
            </w:tcBorders>
          </w:tcPr>
          <w:p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Dív.Consolidada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Líquida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22.136.102,33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0,004%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5,803%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-11.438.825,50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-0,002%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-2,999%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-33.574.927,83</w:t>
            </w:r>
          </w:p>
        </w:tc>
        <w:tc>
          <w:tcPr>
            <w:tcW w:w="955" w:type="dxa"/>
            <w:tcBorders>
              <w:top w:val="nil"/>
              <w:right w:val="nil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-151,675%</w:t>
            </w:r>
          </w:p>
        </w:tc>
      </w:tr>
    </w:tbl>
    <w:p>
      <w:pPr>
        <w:pStyle w:val="BodyText"/>
        <w:rPr>
          <w:b w:val="0"/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932"/>
      </w:tblGrid>
      <w:tr>
        <w:trPr>
          <w:trHeight w:val="236" w:hRule="atLeast"/>
        </w:trPr>
        <w:tc>
          <w:tcPr>
            <w:tcW w:w="6300" w:type="dxa"/>
            <w:shd w:val="clear" w:color="auto" w:fill="F0F0F0"/>
          </w:tcPr>
          <w:p>
            <w:pPr>
              <w:pStyle w:val="TableParagraph"/>
              <w:spacing w:before="25"/>
              <w:ind w:left="2784" w:right="275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Variáveis</w:t>
            </w:r>
          </w:p>
        </w:tc>
        <w:tc>
          <w:tcPr>
            <w:tcW w:w="1932" w:type="dxa"/>
            <w:shd w:val="clear" w:color="auto" w:fill="F0F0F0"/>
          </w:tcPr>
          <w:p>
            <w:pPr>
              <w:pStyle w:val="TableParagraph"/>
              <w:spacing w:before="25"/>
              <w:ind w:left="744" w:right="7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</w:tc>
      </w:tr>
      <w:tr>
        <w:trPr>
          <w:trHeight w:val="285" w:hRule="atLeast"/>
        </w:trPr>
        <w:tc>
          <w:tcPr>
            <w:tcW w:w="630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67"/>
              <w:jc w:val="left"/>
              <w:rPr>
                <w:sz w:val="16"/>
              </w:rPr>
            </w:pPr>
            <w:r>
              <w:rPr>
                <w:sz w:val="16"/>
              </w:rPr>
              <w:t>Previsão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PIB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2021</w:t>
            </w:r>
          </w:p>
        </w:tc>
        <w:tc>
          <w:tcPr>
            <w:tcW w:w="19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18"/>
              <w:rPr>
                <w:sz w:val="16"/>
              </w:rPr>
            </w:pPr>
            <w:r>
              <w:rPr>
                <w:sz w:val="16"/>
              </w:rPr>
              <w:t>515.905.260.000,00</w:t>
            </w:r>
          </w:p>
        </w:tc>
      </w:tr>
      <w:tr>
        <w:trPr>
          <w:trHeight w:val="285" w:hRule="atLeast"/>
        </w:trPr>
        <w:tc>
          <w:tcPr>
            <w:tcW w:w="6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67"/>
              <w:jc w:val="left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(realizado)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z w:val="16"/>
              </w:rPr>
              <w:t>582.656.903.000,00</w:t>
            </w:r>
          </w:p>
        </w:tc>
      </w:tr>
      <w:tr>
        <w:trPr>
          <w:trHeight w:val="287" w:hRule="atLeast"/>
        </w:trPr>
        <w:tc>
          <w:tcPr>
            <w:tcW w:w="63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8"/>
              <w:ind w:left="67"/>
              <w:jc w:val="left"/>
              <w:rPr>
                <w:sz w:val="16"/>
              </w:rPr>
            </w:pPr>
            <w:r>
              <w:rPr>
                <w:sz w:val="16"/>
              </w:rPr>
              <w:t>Receita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Líquida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RCL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93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z w:val="16"/>
              </w:rPr>
              <w:t>381.456.963,32</w:t>
            </w:r>
          </w:p>
        </w:tc>
      </w:tr>
    </w:tbl>
    <w:sectPr>
      <w:type w:val="continuous"/>
      <w:pgSz w:w="16840" w:h="11900" w:orient="landscape"/>
      <w:pgMar w:top="380" w:bottom="280" w:left="138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2022-08-09T18:22:58Z</dcterms:created>
  <dcterms:modified xsi:type="dcterms:W3CDTF">2022-08-09T18:22:58Z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