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LEI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DIRETRIZES</w:t>
      </w:r>
      <w:r>
        <w:rPr>
          <w:spacing w:val="-2"/>
        </w:rPr>
        <w:t> </w:t>
      </w:r>
      <w:r>
        <w:rPr/>
        <w:t>ORÇAMENTÁRIAS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2023</w:t>
      </w:r>
    </w:p>
    <w:p>
      <w:pPr>
        <w:spacing w:before="343"/>
        <w:ind w:left="352" w:right="368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ANEXO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6"/>
          <w:sz w:val="32"/>
        </w:rPr>
        <w:t> </w:t>
      </w:r>
      <w:r>
        <w:rPr>
          <w:rFonts w:ascii="Arial"/>
          <w:b/>
          <w:sz w:val="32"/>
        </w:rPr>
        <w:t>METAS</w:t>
      </w:r>
      <w:r>
        <w:rPr>
          <w:rFonts w:ascii="Arial"/>
          <w:b/>
          <w:spacing w:val="-7"/>
          <w:sz w:val="32"/>
        </w:rPr>
        <w:t> </w:t>
      </w:r>
      <w:r>
        <w:rPr>
          <w:rFonts w:ascii="Arial"/>
          <w:b/>
          <w:sz w:val="32"/>
        </w:rPr>
        <w:t>FISCAIS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spacing w:before="1"/>
        <w:ind w:left="353" w:right="36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MEMÓRIA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METODOLOGIA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CÁLCULO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DAS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METAS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sz w:val="28"/>
        </w:rPr>
        <w:t>ANUAIS</w:t>
      </w:r>
    </w:p>
    <w:p>
      <w:pPr>
        <w:pStyle w:val="BodyText"/>
        <w:spacing w:before="1"/>
        <w:rPr>
          <w:rFonts w:ascii="Arial"/>
          <w:b/>
          <w:sz w:val="40"/>
        </w:rPr>
      </w:pPr>
    </w:p>
    <w:p>
      <w:pPr>
        <w:pStyle w:val="BodyText"/>
        <w:ind w:left="103" w:right="121" w:firstLine="708"/>
        <w:jc w:val="both"/>
      </w:pPr>
      <w:r>
        <w:rPr/>
        <w:t>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anuais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Receitas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calculadas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arrecadação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exercícios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estimativa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arrecadação constante na Lei de Orçamento de 2022 e da análise do desempenho</w:t>
      </w:r>
      <w:r>
        <w:rPr>
          <w:spacing w:val="1"/>
        </w:rPr>
        <w:t> </w:t>
      </w:r>
      <w:r>
        <w:rPr/>
        <w:t>das</w:t>
      </w:r>
      <w:r>
        <w:rPr>
          <w:spacing w:val="-1"/>
        </w:rPr>
        <w:t> </w:t>
      </w:r>
      <w:r>
        <w:rPr/>
        <w:t>receitas realizadas no decorrer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exercício de</w:t>
      </w:r>
      <w:r>
        <w:rPr>
          <w:spacing w:val="1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spacing w:before="1"/>
        <w:ind w:left="103" w:right="116" w:firstLine="708"/>
        <w:jc w:val="both"/>
      </w:pPr>
      <w:r>
        <w:rPr/>
        <w:t>Além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análises</w:t>
      </w:r>
      <w:r>
        <w:rPr>
          <w:spacing w:val="1"/>
        </w:rPr>
        <w:t> </w:t>
      </w:r>
      <w:r>
        <w:rPr/>
        <w:t>acima,</w:t>
      </w:r>
      <w:r>
        <w:rPr>
          <w:spacing w:val="1"/>
        </w:rPr>
        <w:t> </w:t>
      </w:r>
      <w:r>
        <w:rPr/>
        <w:t>examinou-se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tendência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receitas para o restante do exercício de 2022 e as alterações na legislação tributária</w:t>
      </w:r>
      <w:r>
        <w:rPr>
          <w:spacing w:val="1"/>
        </w:rPr>
        <w:t> </w:t>
      </w:r>
      <w:r>
        <w:rPr/>
        <w:t>com efeitos sobre a arrecadação municipal. Ademais, as previsões de arrecadação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Orçamentárias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 com as premissas utilizadas na elaboração do Plano Plurianual 2022 -</w:t>
      </w:r>
      <w:r>
        <w:rPr>
          <w:spacing w:val="1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  <w:ind w:left="103" w:right="120" w:firstLine="708"/>
        <w:jc w:val="both"/>
      </w:pPr>
      <w:r>
        <w:rPr/>
        <w:t>As estimativas para o ano de 2023 contemplam os recursos oriundos de</w:t>
      </w:r>
      <w:r>
        <w:rPr>
          <w:spacing w:val="1"/>
        </w:rPr>
        <w:t> </w:t>
      </w:r>
      <w:r>
        <w:rPr/>
        <w:t>programas governamentais da União e do Estado, captação de recursos por meio de</w:t>
      </w:r>
      <w:r>
        <w:rPr>
          <w:spacing w:val="-64"/>
        </w:rPr>
        <w:t> </w:t>
      </w:r>
      <w:r>
        <w:rPr/>
        <w:t>Fundos Municipais,</w:t>
      </w:r>
      <w:r>
        <w:rPr>
          <w:spacing w:val="1"/>
        </w:rPr>
        <w:t> </w:t>
      </w:r>
      <w:r>
        <w:rPr/>
        <w:t>Convênios com Órgãos da Administração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 e</w:t>
      </w:r>
      <w:r>
        <w:rPr>
          <w:spacing w:val="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entidades privadas.</w:t>
      </w:r>
    </w:p>
    <w:p>
      <w:pPr>
        <w:pStyle w:val="BodyText"/>
      </w:pPr>
    </w:p>
    <w:p>
      <w:pPr>
        <w:pStyle w:val="BodyText"/>
        <w:ind w:left="103" w:right="123" w:firstLine="708"/>
        <w:jc w:val="both"/>
      </w:pPr>
      <w:r>
        <w:rPr/>
        <w:t>Também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incluídos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ingressar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convênios, termos de compromissos ou congêneres a serem firmados com órgãos e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da</w:t>
      </w:r>
      <w:r>
        <w:rPr>
          <w:spacing w:val="-13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103" w:right="123" w:firstLine="708"/>
        <w:jc w:val="both"/>
      </w:pPr>
      <w:r>
        <w:rPr/>
        <w:t>Em termos macroeconômicos, as projeções das metas fiscais para o período</w:t>
      </w:r>
      <w:r>
        <w:rPr>
          <w:spacing w:val="1"/>
        </w:rPr>
        <w:t> </w:t>
      </w:r>
      <w:r>
        <w:rPr/>
        <w:t>de 2023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consideraram</w:t>
      </w:r>
      <w:r>
        <w:rPr>
          <w:spacing w:val="-1"/>
        </w:rPr>
        <w:t> </w:t>
      </w:r>
      <w:r>
        <w:rPr/>
        <w:t>os seguintes</w:t>
      </w:r>
      <w:r>
        <w:rPr>
          <w:spacing w:val="-1"/>
        </w:rPr>
        <w:t> </w:t>
      </w:r>
      <w:r>
        <w:rPr/>
        <w:t>indicadores: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4"/>
        <w:gridCol w:w="1156"/>
        <w:gridCol w:w="1158"/>
        <w:gridCol w:w="1162"/>
      </w:tblGrid>
      <w:tr>
        <w:trPr>
          <w:trHeight w:val="359" w:hRule="atLeast"/>
        </w:trPr>
        <w:tc>
          <w:tcPr>
            <w:tcW w:w="9080" w:type="dxa"/>
            <w:gridSpan w:val="4"/>
          </w:tcPr>
          <w:p>
            <w:pPr>
              <w:pStyle w:val="TableParagraph"/>
              <w:ind w:left="2809" w:right="28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Principais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Variáveis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Econômicas</w:t>
            </w:r>
          </w:p>
        </w:tc>
      </w:tr>
      <w:tr>
        <w:trPr>
          <w:trHeight w:val="359" w:hRule="atLeast"/>
        </w:trPr>
        <w:tc>
          <w:tcPr>
            <w:tcW w:w="5604" w:type="dxa"/>
          </w:tcPr>
          <w:p>
            <w:pPr>
              <w:pStyle w:val="TableParagraph"/>
              <w:ind w:left="2296" w:right="229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Variáveis</w:t>
            </w:r>
          </w:p>
        </w:tc>
        <w:tc>
          <w:tcPr>
            <w:tcW w:w="1156" w:type="dxa"/>
          </w:tcPr>
          <w:p>
            <w:pPr>
              <w:pStyle w:val="TableParagraph"/>
              <w:ind w:right="3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2023</w:t>
            </w:r>
          </w:p>
        </w:tc>
        <w:tc>
          <w:tcPr>
            <w:tcW w:w="1158" w:type="dxa"/>
          </w:tcPr>
          <w:p>
            <w:pPr>
              <w:pStyle w:val="TableParagraph"/>
              <w:ind w:righ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2024</w:t>
            </w:r>
          </w:p>
        </w:tc>
        <w:tc>
          <w:tcPr>
            <w:tcW w:w="1162" w:type="dxa"/>
          </w:tcPr>
          <w:p>
            <w:pPr>
              <w:pStyle w:val="TableParagraph"/>
              <w:ind w:left="33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2025</w:t>
            </w:r>
          </w:p>
        </w:tc>
      </w:tr>
      <w:tr>
        <w:trPr>
          <w:trHeight w:val="359" w:hRule="atLeast"/>
        </w:trPr>
        <w:tc>
          <w:tcPr>
            <w:tcW w:w="5604" w:type="dxa"/>
          </w:tcPr>
          <w:p>
            <w:pPr>
              <w:pStyle w:val="TableParagraph"/>
              <w:ind w:left="55"/>
              <w:jc w:val="left"/>
              <w:rPr>
                <w:sz w:val="22"/>
              </w:rPr>
            </w:pPr>
            <w:r>
              <w:rPr>
                <w:sz w:val="22"/>
              </w:rPr>
              <w:t>Crescimento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ano)</w:t>
            </w:r>
          </w:p>
        </w:tc>
        <w:tc>
          <w:tcPr>
            <w:tcW w:w="1156" w:type="dxa"/>
          </w:tcPr>
          <w:p>
            <w:pPr>
              <w:pStyle w:val="TableParagraph"/>
              <w:ind w:right="308"/>
              <w:rPr>
                <w:sz w:val="22"/>
              </w:rPr>
            </w:pPr>
            <w:r>
              <w:rPr>
                <w:sz w:val="22"/>
              </w:rPr>
              <w:t>1,30</w:t>
            </w:r>
          </w:p>
        </w:tc>
        <w:tc>
          <w:tcPr>
            <w:tcW w:w="1158" w:type="dxa"/>
          </w:tcPr>
          <w:p>
            <w:pPr>
              <w:pStyle w:val="TableParagraph"/>
              <w:ind w:right="309"/>
              <w:rPr>
                <w:sz w:val="22"/>
              </w:rPr>
            </w:pPr>
            <w:r>
              <w:rPr>
                <w:sz w:val="22"/>
              </w:rPr>
              <w:t>2,00</w:t>
            </w:r>
          </w:p>
        </w:tc>
        <w:tc>
          <w:tcPr>
            <w:tcW w:w="1162" w:type="dxa"/>
          </w:tcPr>
          <w:p>
            <w:pPr>
              <w:pStyle w:val="TableParagraph"/>
              <w:ind w:left="366"/>
              <w:jc w:val="left"/>
              <w:rPr>
                <w:sz w:val="22"/>
              </w:rPr>
            </w:pPr>
            <w:r>
              <w:rPr>
                <w:sz w:val="22"/>
              </w:rPr>
              <w:t>2,00</w:t>
            </w:r>
          </w:p>
        </w:tc>
      </w:tr>
      <w:tr>
        <w:trPr>
          <w:trHeight w:val="359" w:hRule="atLeast"/>
        </w:trPr>
        <w:tc>
          <w:tcPr>
            <w:tcW w:w="5604" w:type="dxa"/>
          </w:tcPr>
          <w:p>
            <w:pPr>
              <w:pStyle w:val="TableParagraph"/>
              <w:ind w:left="55"/>
              <w:jc w:val="left"/>
              <w:rPr>
                <w:sz w:val="22"/>
              </w:rPr>
            </w:pPr>
            <w:r>
              <w:rPr>
                <w:sz w:val="22"/>
              </w:rPr>
              <w:t>Crescimento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ano)</w:t>
            </w:r>
          </w:p>
        </w:tc>
        <w:tc>
          <w:tcPr>
            <w:tcW w:w="1156" w:type="dxa"/>
          </w:tcPr>
          <w:p>
            <w:pPr>
              <w:pStyle w:val="TableParagraph"/>
              <w:ind w:right="308"/>
              <w:rPr>
                <w:sz w:val="22"/>
              </w:rPr>
            </w:pPr>
            <w:r>
              <w:rPr>
                <w:sz w:val="22"/>
              </w:rPr>
              <w:t>1,30</w:t>
            </w:r>
          </w:p>
        </w:tc>
        <w:tc>
          <w:tcPr>
            <w:tcW w:w="1158" w:type="dxa"/>
          </w:tcPr>
          <w:p>
            <w:pPr>
              <w:pStyle w:val="TableParagraph"/>
              <w:ind w:right="309"/>
              <w:rPr>
                <w:sz w:val="22"/>
              </w:rPr>
            </w:pPr>
            <w:r>
              <w:rPr>
                <w:sz w:val="22"/>
              </w:rPr>
              <w:t>2,00</w:t>
            </w:r>
          </w:p>
        </w:tc>
        <w:tc>
          <w:tcPr>
            <w:tcW w:w="1162" w:type="dxa"/>
          </w:tcPr>
          <w:p>
            <w:pPr>
              <w:pStyle w:val="TableParagraph"/>
              <w:ind w:left="366"/>
              <w:jc w:val="left"/>
              <w:rPr>
                <w:sz w:val="22"/>
              </w:rPr>
            </w:pPr>
            <w:r>
              <w:rPr>
                <w:sz w:val="22"/>
              </w:rPr>
              <w:t>2,00</w:t>
            </w:r>
          </w:p>
        </w:tc>
      </w:tr>
      <w:tr>
        <w:trPr>
          <w:trHeight w:val="362" w:hRule="atLeast"/>
        </w:trPr>
        <w:tc>
          <w:tcPr>
            <w:tcW w:w="5604" w:type="dxa"/>
          </w:tcPr>
          <w:p>
            <w:pPr>
              <w:pStyle w:val="TableParagraph"/>
              <w:ind w:left="55"/>
              <w:jc w:val="left"/>
              <w:rPr>
                <w:sz w:val="22"/>
              </w:rPr>
            </w:pPr>
            <w:r>
              <w:rPr>
                <w:sz w:val="22"/>
              </w:rPr>
              <w:t>IPCA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(variação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acumulada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ano)</w:t>
            </w:r>
          </w:p>
        </w:tc>
        <w:tc>
          <w:tcPr>
            <w:tcW w:w="1156" w:type="dxa"/>
          </w:tcPr>
          <w:p>
            <w:pPr>
              <w:pStyle w:val="TableParagraph"/>
              <w:ind w:right="308"/>
              <w:rPr>
                <w:sz w:val="22"/>
              </w:rPr>
            </w:pPr>
            <w:r>
              <w:rPr>
                <w:sz w:val="22"/>
              </w:rPr>
              <w:t>3,80</w:t>
            </w:r>
          </w:p>
        </w:tc>
        <w:tc>
          <w:tcPr>
            <w:tcW w:w="1158" w:type="dxa"/>
          </w:tcPr>
          <w:p>
            <w:pPr>
              <w:pStyle w:val="TableParagraph"/>
              <w:ind w:right="309"/>
              <w:rPr>
                <w:sz w:val="22"/>
              </w:rPr>
            </w:pPr>
            <w:r>
              <w:rPr>
                <w:sz w:val="22"/>
              </w:rPr>
              <w:t>3,20</w:t>
            </w:r>
          </w:p>
        </w:tc>
        <w:tc>
          <w:tcPr>
            <w:tcW w:w="1162" w:type="dxa"/>
          </w:tcPr>
          <w:p>
            <w:pPr>
              <w:pStyle w:val="TableParagraph"/>
              <w:ind w:left="366"/>
              <w:jc w:val="left"/>
              <w:rPr>
                <w:sz w:val="22"/>
              </w:rPr>
            </w:pPr>
            <w:r>
              <w:rPr>
                <w:sz w:val="22"/>
              </w:rPr>
              <w:t>3,00</w:t>
            </w:r>
          </w:p>
        </w:tc>
      </w:tr>
    </w:tbl>
    <w:p>
      <w:pPr>
        <w:spacing w:before="230"/>
        <w:ind w:left="104" w:right="129" w:firstLine="707"/>
        <w:jc w:val="both"/>
        <w:rPr>
          <w:sz w:val="20"/>
        </w:rPr>
      </w:pPr>
      <w:r>
        <w:rPr>
          <w:sz w:val="20"/>
        </w:rPr>
        <w:t>Fonte: Parâmetros utilizados no Projeto de Lei de Diretrizes Orçamentárias do Governo do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2023.</w:t>
      </w:r>
    </w:p>
    <w:p>
      <w:pPr>
        <w:spacing w:after="0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946" w:footer="1568" w:top="2660" w:bottom="1760" w:left="1600" w:right="10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3" w:right="120" w:firstLine="708"/>
        <w:jc w:val="both"/>
      </w:pPr>
      <w:r>
        <w:rPr/>
        <w:t>As projeções de despesas para o exercício de 2023 estão apresentadas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Prioritárias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</w:t>
      </w:r>
      <w:r>
        <w:rPr>
          <w:spacing w:val="66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 desdobradas em Programas e Ações de Governo, com indicação das</w:t>
      </w:r>
      <w:r>
        <w:rPr>
          <w:spacing w:val="1"/>
        </w:rPr>
        <w:t> </w:t>
      </w:r>
      <w:r>
        <w:rPr/>
        <w:t>respectivas fontes (recursos</w:t>
      </w:r>
      <w:r>
        <w:rPr>
          <w:spacing w:val="1"/>
        </w:rPr>
        <w:t> </w:t>
      </w:r>
      <w:r>
        <w:rPr/>
        <w:t>próprios e</w:t>
      </w:r>
      <w:r>
        <w:rPr>
          <w:spacing w:val="1"/>
        </w:rPr>
        <w:t> </w:t>
      </w:r>
      <w:r>
        <w:rPr/>
        <w:t>terceiros).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 exercícios de</w:t>
      </w:r>
      <w:r>
        <w:rPr>
          <w:spacing w:val="1"/>
        </w:rPr>
        <w:t> </w:t>
      </w:r>
      <w:r>
        <w:rPr/>
        <w:t>2024</w:t>
      </w:r>
      <w:r>
        <w:rPr>
          <w:spacing w:val="66"/>
        </w:rPr>
        <w:t> </w:t>
      </w:r>
      <w:r>
        <w:rPr/>
        <w:t>e</w:t>
      </w:r>
      <w:r>
        <w:rPr>
          <w:spacing w:val="1"/>
        </w:rPr>
        <w:t> </w:t>
      </w:r>
      <w:r>
        <w:rPr/>
        <w:t>2025, as projeções acompanharam as expectativas de variação no desempenho da</w:t>
      </w:r>
      <w:r>
        <w:rPr>
          <w:spacing w:val="1"/>
        </w:rPr>
        <w:t> </w:t>
      </w:r>
      <w:r>
        <w:rPr/>
        <w:t>arrecadação e</w:t>
      </w:r>
      <w:r>
        <w:rPr>
          <w:spacing w:val="-2"/>
        </w:rPr>
        <w:t> </w:t>
      </w:r>
      <w:r>
        <w:rPr/>
        <w:t>dos indicadores</w:t>
      </w:r>
      <w:r>
        <w:rPr>
          <w:spacing w:val="-3"/>
        </w:rPr>
        <w:t> </w:t>
      </w:r>
      <w:r>
        <w:rPr/>
        <w:t>econômicos utilizados.</w:t>
      </w:r>
    </w:p>
    <w:p>
      <w:pPr>
        <w:pStyle w:val="BodyText"/>
      </w:pPr>
    </w:p>
    <w:p>
      <w:pPr>
        <w:pStyle w:val="BodyText"/>
        <w:spacing w:before="1"/>
        <w:ind w:left="103" w:right="120" w:firstLine="708"/>
        <w:jc w:val="both"/>
      </w:pPr>
      <w:r>
        <w:rPr/>
        <w:t>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pessoal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encargos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tiveram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projeções</w:t>
      </w:r>
      <w:r>
        <w:rPr>
          <w:spacing w:val="1"/>
        </w:rPr>
        <w:t> </w:t>
      </w:r>
      <w:r>
        <w:rPr/>
        <w:t>estabelecidas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atual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salários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Órgãos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da Administração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necessidades de eventuais ampliações e/ou alterações de quadros funcionais ou de</w:t>
      </w:r>
      <w:r>
        <w:rPr>
          <w:spacing w:val="1"/>
        </w:rPr>
        <w:t> </w:t>
      </w:r>
      <w:r>
        <w:rPr/>
        <w:t>carreiras,</w:t>
      </w:r>
      <w:r>
        <w:rPr>
          <w:spacing w:val="-1"/>
        </w:rPr>
        <w:t> </w:t>
      </w:r>
      <w:r>
        <w:rPr/>
        <w:t>ainda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resultem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despesa.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3" w:right="120" w:firstLine="708"/>
        <w:jc w:val="both"/>
      </w:pPr>
      <w:r>
        <w:rPr/>
        <w:t>Estão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incluídas</w:t>
      </w:r>
      <w:r>
        <w:rPr>
          <w:spacing w:val="1"/>
        </w:rPr>
        <w:t> </w:t>
      </w:r>
      <w:r>
        <w:rPr/>
        <w:t>projeções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receitas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Previdência dos Servidores Públicos Municipais de Esteio, da Fundação de Saúde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Camilo</w:t>
      </w:r>
      <w:r>
        <w:rPr>
          <w:spacing w:val="-4"/>
        </w:rPr>
        <w:t> </w:t>
      </w:r>
      <w:r>
        <w:rPr/>
        <w:t>de Esteio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despesas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Poder Legislativo do</w:t>
      </w:r>
      <w:r>
        <w:rPr>
          <w:spacing w:val="-1"/>
        </w:rPr>
        <w:t> </w:t>
      </w:r>
      <w:r>
        <w:rPr/>
        <w:t>Município.</w:t>
      </w:r>
    </w:p>
    <w:p>
      <w:pPr>
        <w:pStyle w:val="BodyText"/>
      </w:pPr>
    </w:p>
    <w:p>
      <w:pPr>
        <w:pStyle w:val="BodyText"/>
        <w:ind w:left="103" w:right="120" w:firstLine="708"/>
        <w:jc w:val="both"/>
      </w:pP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Fiscais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Previdência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Esteio</w:t>
      </w:r>
      <w:r>
        <w:rPr>
          <w:spacing w:val="1"/>
        </w:rPr>
        <w:t> </w:t>
      </w:r>
      <w:r>
        <w:rPr/>
        <w:t>contemplam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Demonstrativo da Projeção Atuarial do RPPS para o período calculado entre os anos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2095.</w:t>
      </w:r>
    </w:p>
    <w:p>
      <w:pPr>
        <w:pStyle w:val="BodyText"/>
      </w:pPr>
    </w:p>
    <w:p>
      <w:pPr>
        <w:pStyle w:val="BodyText"/>
        <w:ind w:left="103" w:right="123" w:firstLine="708"/>
        <w:jc w:val="both"/>
      </w:pPr>
      <w:r>
        <w:rPr/>
        <w:t>As metas fiscais constantes na proposta da Lei de Diretrizes Orçamentárias</w:t>
      </w:r>
      <w:r>
        <w:rPr>
          <w:spacing w:val="1"/>
        </w:rPr>
        <w:t> </w:t>
      </w:r>
      <w:r>
        <w:rPr/>
        <w:t>para o exercício de 2023 estão em sintonia com as premissas da Lei Municipal nº</w:t>
      </w:r>
      <w:r>
        <w:rPr>
          <w:spacing w:val="1"/>
        </w:rPr>
        <w:t> </w:t>
      </w:r>
      <w:r>
        <w:rPr/>
        <w:t>7.872, de 04 de Agosto de 2021, que dispõe sobre o Plano Plurianual do 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2022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  <w:ind w:left="103" w:right="118" w:firstLine="708"/>
        <w:jc w:val="both"/>
      </w:pPr>
      <w:r>
        <w:rPr/>
        <w:t>A Margem de Expansão das Despesas Obrigatórias de Caráter Continuado –</w:t>
      </w:r>
      <w:r>
        <w:rPr>
          <w:spacing w:val="1"/>
        </w:rPr>
        <w:t> </w:t>
      </w:r>
      <w:r>
        <w:rPr/>
        <w:t>DOCC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projetada</w:t>
      </w:r>
      <w:r>
        <w:rPr>
          <w:spacing w:val="1"/>
        </w:rPr>
        <w:t> </w:t>
      </w:r>
      <w:r>
        <w:rPr/>
        <w:t>considerando-se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crescimento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receitas</w:t>
      </w:r>
      <w:r>
        <w:rPr>
          <w:spacing w:val="1"/>
        </w:rPr>
        <w:t> </w:t>
      </w:r>
      <w:r>
        <w:rPr/>
        <w:t>tributárias próprias do Município e das transferências correntes gerais, deduzidas as</w:t>
      </w:r>
      <w:r>
        <w:rPr>
          <w:spacing w:val="1"/>
        </w:rPr>
        <w:t> </w:t>
      </w:r>
      <w:r>
        <w:rPr/>
        <w:t>vinculações constitucionais com as áreas de educação e saúde e Fundeb, também</w:t>
      </w:r>
      <w:r>
        <w:rPr>
          <w:spacing w:val="1"/>
        </w:rPr>
        <w:t> </w:t>
      </w:r>
      <w:r>
        <w:rPr/>
        <w:t>comparando-se o incremento de tais despesas vinculadas para o exercício de 2023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relação</w:t>
      </w:r>
      <w:r>
        <w:rPr>
          <w:spacing w:val="-2"/>
        </w:rPr>
        <w:t> </w:t>
      </w:r>
      <w:r>
        <w:rPr/>
        <w:t>ao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spacing w:before="1"/>
        <w:ind w:left="103" w:right="123" w:firstLine="708"/>
        <w:jc w:val="both"/>
      </w:pPr>
      <w:r>
        <w:rPr/>
        <w:t>As</w:t>
      </w:r>
      <w:r>
        <w:rPr>
          <w:spacing w:val="1"/>
        </w:rPr>
        <w:t> </w:t>
      </w:r>
      <w:r>
        <w:rPr/>
        <w:t>estimativas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receitas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exercícios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apresentadas pelos seus valores líquidos, já deduzidos os montantes referentes à</w:t>
      </w:r>
      <w:r>
        <w:rPr>
          <w:spacing w:val="1"/>
        </w:rPr>
        <w:t> </w:t>
      </w:r>
      <w:r>
        <w:rPr/>
        <w:t>Renúncia de Receita, cujas previsões estão registradas no Demonstrativo VIII –</w:t>
      </w:r>
      <w:r>
        <w:rPr>
          <w:spacing w:val="1"/>
        </w:rPr>
        <w:t> </w:t>
      </w:r>
      <w:r>
        <w:rPr/>
        <w:t>Estimativa da</w:t>
      </w:r>
      <w:r>
        <w:rPr>
          <w:spacing w:val="-2"/>
        </w:rPr>
        <w:t> </w:t>
      </w:r>
      <w:r>
        <w:rPr/>
        <w:t>Compensação e</w:t>
      </w:r>
      <w:r>
        <w:rPr>
          <w:spacing w:val="-2"/>
        </w:rPr>
        <w:t> </w:t>
      </w:r>
      <w:r>
        <w:rPr/>
        <w:t>Renúncia de</w:t>
      </w:r>
      <w:r>
        <w:rPr>
          <w:spacing w:val="1"/>
        </w:rPr>
        <w:t> </w:t>
      </w:r>
      <w:r>
        <w:rPr/>
        <w:t>Receita</w:t>
      </w:r>
      <w:r>
        <w:rPr>
          <w:spacing w:val="-3"/>
        </w:rPr>
        <w:t> </w:t>
      </w:r>
      <w:r>
        <w:rPr/>
        <w:t>da</w:t>
      </w:r>
      <w:r>
        <w:rPr>
          <w:spacing w:val="1"/>
        </w:rPr>
        <w:t> </w:t>
      </w:r>
      <w:r>
        <w:rPr/>
        <w:t>LDO</w:t>
      </w:r>
      <w:r>
        <w:rPr>
          <w:spacing w:val="-1"/>
        </w:rPr>
        <w:t> </w:t>
      </w:r>
      <w:r>
        <w:rPr/>
        <w:t>2023.</w:t>
      </w:r>
    </w:p>
    <w:sectPr>
      <w:pgSz w:w="11900" w:h="16840"/>
      <w:pgMar w:header="946" w:footer="1568" w:top="2660" w:bottom="17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1112454</wp:posOffset>
          </wp:positionH>
          <wp:positionV relativeFrom="page">
            <wp:posOffset>9604998</wp:posOffset>
          </wp:positionV>
          <wp:extent cx="5772243" cy="378448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243" cy="378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9.680pt;margin-top:753.599854pt;width:478.079989pt;height:.6pt;mso-position-horizontal-relative:page;mso-position-vertical-relative:page;z-index:-15793152" filled="true" fillcolor="#000000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1021080</wp:posOffset>
          </wp:positionH>
          <wp:positionV relativeFrom="page">
            <wp:posOffset>600450</wp:posOffset>
          </wp:positionV>
          <wp:extent cx="950975" cy="88544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975" cy="88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1792">
          <wp:simplePos x="0" y="0"/>
          <wp:positionH relativeFrom="page">
            <wp:posOffset>3101339</wp:posOffset>
          </wp:positionH>
          <wp:positionV relativeFrom="page">
            <wp:posOffset>1124706</wp:posOffset>
          </wp:positionV>
          <wp:extent cx="1420367" cy="27584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0367" cy="27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9.680pt;margin-top:132.959961pt;width:478.45pt;height:.6pt;mso-position-horizontal-relative:page;mso-position-vertical-relative:page;z-index:-15794176" coordorigin="1594,2659" coordsize="9569,12" path="m11162,2659l7519,2659,4486,2659,1594,2659,1594,2671,4486,2671,7519,2671,11162,2671,11162,2659xe" filled="true" fillcolor="#000000" stroked="false">
          <v:path arrowok="t"/>
          <v:fill type="solid"/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7"/>
      <w:ind w:left="675" w:right="694"/>
      <w:jc w:val="center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  <w:ind w:left="313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2022-08-09T18:22:13Z</dcterms:created>
  <dcterms:modified xsi:type="dcterms:W3CDTF">2022-08-09T18:22:13Z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2022-08-08T00:00:00Z</vt:filetime>
  </property>
</Properties>
</file>