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31" w:lineRule="auto" w:before="76"/>
        <w:ind w:left="5637" w:right="5667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Prefeitura Municipal de Esteio - Consolidação</w:t>
      </w:r>
      <w:r>
        <w:rPr>
          <w:rFonts w:ascii="Times New Roman" w:hAnsi="Times New Roman"/>
          <w:b/>
          <w:i/>
          <w:spacing w:val="-18"/>
          <w:sz w:val="20"/>
        </w:rPr>
        <w:t> </w:t>
      </w:r>
      <w:r>
        <w:rPr>
          <w:rFonts w:ascii="Times New Roman" w:hAnsi="Times New Roman"/>
          <w:b/>
          <w:i/>
          <w:spacing w:val="-4"/>
          <w:sz w:val="20"/>
        </w:rPr>
        <w:t>Total </w:t>
      </w:r>
      <w:r>
        <w:rPr>
          <w:rFonts w:ascii="Times New Roman" w:hAnsi="Times New Roman"/>
          <w:sz w:val="20"/>
        </w:rPr>
        <w:t>LEI DE DIRETRIZES ORÇAMENTÁRIAS ANEXO DE </w:t>
      </w:r>
      <w:r>
        <w:rPr>
          <w:rFonts w:ascii="Times New Roman" w:hAnsi="Times New Roman"/>
          <w:spacing w:val="-4"/>
          <w:sz w:val="20"/>
        </w:rPr>
        <w:t>METAS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FISCAIS</w:t>
      </w:r>
    </w:p>
    <w:p>
      <w:pPr>
        <w:spacing w:before="1"/>
        <w:ind w:left="7017" w:right="7048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pacing w:val="-3"/>
          <w:sz w:val="20"/>
        </w:rPr>
        <w:t>METAS</w:t>
      </w:r>
      <w:r>
        <w:rPr>
          <w:rFonts w:ascii="Times New Roman"/>
          <w:b/>
          <w:spacing w:val="-19"/>
          <w:sz w:val="20"/>
        </w:rPr>
        <w:t> </w:t>
      </w:r>
      <w:r>
        <w:rPr>
          <w:rFonts w:ascii="Times New Roman"/>
          <w:b/>
          <w:sz w:val="20"/>
        </w:rPr>
        <w:t>ANUAIS</w:t>
      </w:r>
    </w:p>
    <w:p>
      <w:pPr>
        <w:spacing w:before="91"/>
        <w:ind w:left="7017" w:right="7038" w:firstLine="0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Exercício de</w:t>
      </w:r>
      <w:r>
        <w:rPr>
          <w:rFonts w:ascii="Times New Roman" w:hAnsi="Times New Roman"/>
          <w:b/>
          <w:i/>
          <w:spacing w:val="-3"/>
          <w:sz w:val="20"/>
        </w:rPr>
        <w:t> </w:t>
      </w:r>
      <w:r>
        <w:rPr>
          <w:rFonts w:ascii="Times New Roman" w:hAnsi="Times New Roman"/>
          <w:b/>
          <w:i/>
          <w:sz w:val="20"/>
        </w:rPr>
        <w:t>2021</w:t>
      </w:r>
    </w:p>
    <w:p>
      <w:pPr>
        <w:pStyle w:val="BodyText"/>
        <w:spacing w:before="10"/>
        <w:rPr>
          <w:b/>
          <w:i/>
          <w:sz w:val="13"/>
        </w:rPr>
      </w:pPr>
    </w:p>
    <w:p>
      <w:pPr>
        <w:pStyle w:val="BodyText"/>
        <w:tabs>
          <w:tab w:pos="14925" w:val="left" w:leader="none"/>
        </w:tabs>
        <w:spacing w:before="1"/>
        <w:ind w:left="148"/>
      </w:pPr>
      <w:r>
        <w:rPr/>
        <w:t>AMF - Demonstrativo I </w:t>
      </w:r>
      <w:r>
        <w:rPr>
          <w:spacing w:val="-5"/>
        </w:rPr>
        <w:t>(LRF,</w:t>
      </w:r>
      <w:r>
        <w:rPr>
          <w:spacing w:val="-20"/>
        </w:rPr>
        <w:t> </w:t>
      </w:r>
      <w:r>
        <w:rPr/>
        <w:t>art.4º,§</w:t>
      </w:r>
      <w:r>
        <w:rPr>
          <w:spacing w:val="-3"/>
        </w:rPr>
        <w:t> </w:t>
      </w:r>
      <w:r>
        <w:rPr/>
        <w:t>1º)</w:t>
        <w:tab/>
        <w:t>R$</w:t>
      </w:r>
      <w:r>
        <w:rPr>
          <w:spacing w:val="-1"/>
        </w:rPr>
        <w:t> </w:t>
      </w:r>
      <w:r>
        <w:rPr/>
        <w:t>Reais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1454"/>
        <w:gridCol w:w="1454"/>
        <w:gridCol w:w="751"/>
        <w:gridCol w:w="749"/>
        <w:gridCol w:w="1457"/>
        <w:gridCol w:w="1455"/>
        <w:gridCol w:w="749"/>
        <w:gridCol w:w="751"/>
        <w:gridCol w:w="1454"/>
        <w:gridCol w:w="1454"/>
        <w:gridCol w:w="751"/>
        <w:gridCol w:w="763"/>
      </w:tblGrid>
      <w:tr>
        <w:trPr>
          <w:trHeight w:val="196" w:hRule="atLeast"/>
        </w:trPr>
        <w:tc>
          <w:tcPr>
            <w:tcW w:w="2114" w:type="dxa"/>
            <w:vMerge w:val="restart"/>
            <w:shd w:val="clear" w:color="auto" w:fill="F0F0F0"/>
          </w:tcPr>
          <w:p>
            <w:pPr>
              <w:pStyle w:val="TableParagraph"/>
              <w:spacing w:before="8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49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ESPECIFICAÇÃO</w:t>
            </w:r>
          </w:p>
        </w:tc>
        <w:tc>
          <w:tcPr>
            <w:tcW w:w="4408" w:type="dxa"/>
            <w:gridSpan w:val="4"/>
            <w:shd w:val="clear" w:color="auto" w:fill="F0F0F0"/>
          </w:tcPr>
          <w:p>
            <w:pPr>
              <w:pStyle w:val="TableParagraph"/>
              <w:spacing w:line="157" w:lineRule="exact" w:before="19"/>
              <w:ind w:left="2034" w:right="20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4412" w:type="dxa"/>
            <w:gridSpan w:val="4"/>
            <w:shd w:val="clear" w:color="auto" w:fill="F0F0F0"/>
          </w:tcPr>
          <w:p>
            <w:pPr>
              <w:pStyle w:val="TableParagraph"/>
              <w:spacing w:line="157" w:lineRule="exact" w:before="19"/>
              <w:ind w:left="2038" w:right="200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4422" w:type="dxa"/>
            <w:gridSpan w:val="4"/>
            <w:shd w:val="clear" w:color="auto" w:fill="F0F0F0"/>
          </w:tcPr>
          <w:p>
            <w:pPr>
              <w:pStyle w:val="TableParagraph"/>
              <w:spacing w:line="157" w:lineRule="exact" w:before="19"/>
              <w:ind w:left="2034" w:right="20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</w:tr>
      <w:tr>
        <w:trPr>
          <w:trHeight w:val="385" w:hRule="atLeast"/>
        </w:trPr>
        <w:tc>
          <w:tcPr>
            <w:tcW w:w="2114" w:type="dxa"/>
            <w:vMerge/>
            <w:tcBorders>
              <w:top w:val="nil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shd w:val="clear" w:color="auto" w:fill="F0F0F0"/>
          </w:tcPr>
          <w:p>
            <w:pPr>
              <w:pStyle w:val="TableParagraph"/>
              <w:spacing w:before="17"/>
              <w:ind w:left="227" w:right="1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Valor Corrente</w:t>
            </w:r>
          </w:p>
          <w:p>
            <w:pPr>
              <w:pStyle w:val="TableParagraph"/>
              <w:spacing w:before="42"/>
              <w:ind w:left="223" w:right="199"/>
              <w:jc w:val="center"/>
              <w:rPr>
                <w:sz w:val="12"/>
              </w:rPr>
            </w:pPr>
            <w:r>
              <w:rPr>
                <w:sz w:val="12"/>
              </w:rPr>
              <w:t>(a)</w:t>
            </w:r>
          </w:p>
        </w:tc>
        <w:tc>
          <w:tcPr>
            <w:tcW w:w="1454" w:type="dxa"/>
            <w:shd w:val="clear" w:color="auto" w:fill="F0F0F0"/>
          </w:tcPr>
          <w:p>
            <w:pPr>
              <w:pStyle w:val="TableParagraph"/>
              <w:spacing w:before="17"/>
              <w:ind w:left="20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 Constante</w:t>
            </w:r>
          </w:p>
        </w:tc>
        <w:tc>
          <w:tcPr>
            <w:tcW w:w="751" w:type="dxa"/>
            <w:shd w:val="clear" w:color="auto" w:fill="F0F0F0"/>
          </w:tcPr>
          <w:p>
            <w:pPr>
              <w:pStyle w:val="TableParagraph"/>
              <w:spacing w:before="17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 PIB</w:t>
            </w:r>
          </w:p>
          <w:p>
            <w:pPr>
              <w:pStyle w:val="TableParagraph"/>
              <w:spacing w:before="42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(a/PIB)x100</w:t>
            </w:r>
          </w:p>
        </w:tc>
        <w:tc>
          <w:tcPr>
            <w:tcW w:w="749" w:type="dxa"/>
            <w:shd w:val="clear" w:color="auto" w:fill="F0F0F0"/>
          </w:tcPr>
          <w:p>
            <w:pPr>
              <w:pStyle w:val="TableParagraph"/>
              <w:spacing w:before="17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 RCL</w:t>
            </w:r>
          </w:p>
          <w:p>
            <w:pPr>
              <w:pStyle w:val="TableParagraph"/>
              <w:spacing w:before="42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(a/RCL)x100</w:t>
            </w:r>
          </w:p>
        </w:tc>
        <w:tc>
          <w:tcPr>
            <w:tcW w:w="1457" w:type="dxa"/>
            <w:shd w:val="clear" w:color="auto" w:fill="F0F0F0"/>
          </w:tcPr>
          <w:p>
            <w:pPr>
              <w:pStyle w:val="TableParagraph"/>
              <w:spacing w:before="17"/>
              <w:ind w:left="230" w:right="1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Valor Corrente</w:t>
            </w:r>
          </w:p>
          <w:p>
            <w:pPr>
              <w:pStyle w:val="TableParagraph"/>
              <w:spacing w:before="42"/>
              <w:ind w:left="226" w:right="199"/>
              <w:jc w:val="center"/>
              <w:rPr>
                <w:sz w:val="12"/>
              </w:rPr>
            </w:pPr>
            <w:r>
              <w:rPr>
                <w:sz w:val="12"/>
              </w:rPr>
              <w:t>(b)</w:t>
            </w:r>
          </w:p>
        </w:tc>
        <w:tc>
          <w:tcPr>
            <w:tcW w:w="1455" w:type="dxa"/>
            <w:shd w:val="clear" w:color="auto" w:fill="F0F0F0"/>
          </w:tcPr>
          <w:p>
            <w:pPr>
              <w:pStyle w:val="TableParagraph"/>
              <w:spacing w:before="17"/>
              <w:ind w:left="2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 Constante</w:t>
            </w:r>
          </w:p>
        </w:tc>
        <w:tc>
          <w:tcPr>
            <w:tcW w:w="749" w:type="dxa"/>
            <w:shd w:val="clear" w:color="auto" w:fill="F0F0F0"/>
          </w:tcPr>
          <w:p>
            <w:pPr>
              <w:pStyle w:val="TableParagraph"/>
              <w:spacing w:before="17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 PIB</w:t>
            </w:r>
          </w:p>
          <w:p>
            <w:pPr>
              <w:pStyle w:val="TableParagraph"/>
              <w:spacing w:before="42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(b/PIB)x100</w:t>
            </w:r>
          </w:p>
        </w:tc>
        <w:tc>
          <w:tcPr>
            <w:tcW w:w="751" w:type="dxa"/>
            <w:shd w:val="clear" w:color="auto" w:fill="F0F0F0"/>
          </w:tcPr>
          <w:p>
            <w:pPr>
              <w:pStyle w:val="TableParagraph"/>
              <w:spacing w:before="17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 RCL</w:t>
            </w:r>
          </w:p>
          <w:p>
            <w:pPr>
              <w:pStyle w:val="TableParagraph"/>
              <w:spacing w:before="42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(b/RCL)x100</w:t>
            </w:r>
          </w:p>
        </w:tc>
        <w:tc>
          <w:tcPr>
            <w:tcW w:w="1454" w:type="dxa"/>
            <w:shd w:val="clear" w:color="auto" w:fill="F0F0F0"/>
          </w:tcPr>
          <w:p>
            <w:pPr>
              <w:pStyle w:val="TableParagraph"/>
              <w:spacing w:before="17"/>
              <w:ind w:left="227" w:right="1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Valor Corrente</w:t>
            </w:r>
          </w:p>
          <w:p>
            <w:pPr>
              <w:pStyle w:val="TableParagraph"/>
              <w:spacing w:before="42"/>
              <w:ind w:left="225" w:right="199"/>
              <w:jc w:val="center"/>
              <w:rPr>
                <w:sz w:val="12"/>
              </w:rPr>
            </w:pPr>
            <w:r>
              <w:rPr>
                <w:sz w:val="12"/>
              </w:rPr>
              <w:t>(c)</w:t>
            </w:r>
          </w:p>
        </w:tc>
        <w:tc>
          <w:tcPr>
            <w:tcW w:w="1454" w:type="dxa"/>
            <w:shd w:val="clear" w:color="auto" w:fill="F0F0F0"/>
          </w:tcPr>
          <w:p>
            <w:pPr>
              <w:pStyle w:val="TableParagraph"/>
              <w:spacing w:before="17"/>
              <w:ind w:left="20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Valor Constante</w:t>
            </w:r>
          </w:p>
        </w:tc>
        <w:tc>
          <w:tcPr>
            <w:tcW w:w="751" w:type="dxa"/>
            <w:shd w:val="clear" w:color="auto" w:fill="F0F0F0"/>
          </w:tcPr>
          <w:p>
            <w:pPr>
              <w:pStyle w:val="TableParagraph"/>
              <w:spacing w:before="17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 PIB</w:t>
            </w:r>
          </w:p>
          <w:p>
            <w:pPr>
              <w:pStyle w:val="TableParagraph"/>
              <w:spacing w:before="42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(c/PIB)x100</w:t>
            </w:r>
          </w:p>
        </w:tc>
        <w:tc>
          <w:tcPr>
            <w:tcW w:w="763" w:type="dxa"/>
            <w:shd w:val="clear" w:color="auto" w:fill="F0F0F0"/>
          </w:tcPr>
          <w:p>
            <w:pPr>
              <w:pStyle w:val="TableParagraph"/>
              <w:spacing w:before="17"/>
              <w:ind w:left="23" w:righ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% RCL</w:t>
            </w:r>
          </w:p>
          <w:p>
            <w:pPr>
              <w:pStyle w:val="TableParagraph"/>
              <w:spacing w:before="42"/>
              <w:ind w:left="24" w:right="10"/>
              <w:jc w:val="center"/>
              <w:rPr>
                <w:sz w:val="12"/>
              </w:rPr>
            </w:pPr>
            <w:r>
              <w:rPr>
                <w:sz w:val="12"/>
              </w:rPr>
              <w:t>(c/RCL)x100</w:t>
            </w:r>
          </w:p>
        </w:tc>
      </w:tr>
      <w:tr>
        <w:trPr>
          <w:trHeight w:val="339" w:hRule="atLeast"/>
        </w:trPr>
        <w:tc>
          <w:tcPr>
            <w:tcW w:w="211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6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Receita Total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297.298.816,58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288.359.666,91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0,058%</w:t>
            </w:r>
          </w:p>
        </w:tc>
        <w:tc>
          <w:tcPr>
            <w:tcW w:w="749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101,861%</w:t>
            </w:r>
          </w:p>
        </w:tc>
        <w:tc>
          <w:tcPr>
            <w:tcW w:w="1457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307.704.275,16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288.355.613,49</w:t>
            </w:r>
          </w:p>
        </w:tc>
        <w:tc>
          <w:tcPr>
            <w:tcW w:w="749" w:type="dxa"/>
            <w:tcBorders>
              <w:bottom w:val="nil"/>
            </w:tcBorders>
          </w:tcPr>
          <w:p>
            <w:pPr>
              <w:pStyle w:val="TableParagraph"/>
              <w:spacing w:before="9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0,058%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96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101,861%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318.473.924,79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2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288.368.276,70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96"/>
              <w:ind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0,058%</w:t>
            </w:r>
          </w:p>
        </w:tc>
        <w:tc>
          <w:tcPr>
            <w:tcW w:w="76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6"/>
              <w:ind w:right="1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101,861%</w:t>
            </w:r>
          </w:p>
        </w:tc>
      </w:tr>
      <w:tr>
        <w:trPr>
          <w:trHeight w:val="319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3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Receitas Primárias (I)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295.459.666,58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286.575.816,28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0,057%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101,231%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306.218.187,41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286.962.971,99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sz w:val="14"/>
              </w:rPr>
            </w:pPr>
            <w:r>
              <w:rPr>
                <w:w w:val="95"/>
                <w:sz w:val="14"/>
              </w:rPr>
              <w:t>0,057%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sz w:val="14"/>
              </w:rPr>
            </w:pPr>
            <w:r>
              <w:rPr>
                <w:w w:val="95"/>
                <w:sz w:val="14"/>
              </w:rPr>
              <w:t>101,369%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316.970.823,97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287.007.265,46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0,057%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6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101,380%</w:t>
            </w:r>
          </w:p>
        </w:tc>
      </w:tr>
      <w:tr>
        <w:trPr>
          <w:trHeight w:val="310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Despesa Total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297.298.816,58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288.359.666,91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0,058%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101,861%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307.704.275,16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288.355.613,49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0,058%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101,861%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319.099.924,79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288.935.100,32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0,058%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102,061%</w:t>
            </w:r>
          </w:p>
        </w:tc>
      </w:tr>
      <w:tr>
        <w:trPr>
          <w:trHeight w:val="317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Despesas Primárias (II)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294.942.922,09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286.074.609,20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0,057%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101,054%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305.369.424,36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286.167.579,76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sz w:val="14"/>
              </w:rPr>
            </w:pPr>
            <w:r>
              <w:rPr>
                <w:w w:val="95"/>
                <w:sz w:val="14"/>
              </w:rPr>
              <w:t>0,057%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rPr>
                <w:sz w:val="14"/>
              </w:rPr>
            </w:pPr>
            <w:r>
              <w:rPr>
                <w:w w:val="95"/>
                <w:sz w:val="14"/>
              </w:rPr>
              <w:t>101,088%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316.768.579,21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286.824.139,09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5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0,057%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5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101,316%</w:t>
            </w:r>
          </w:p>
        </w:tc>
      </w:tr>
      <w:tr>
        <w:trPr>
          <w:trHeight w:val="311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Resultado Primário (III)=(I-II)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516.744,49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501.207,07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0,000%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0,177%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848.763,05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795.392,23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0,000%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0,281%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202.244,76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ind w:right="24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183.126,37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ind w:right="-1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0,000%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8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0,065%</w:t>
            </w:r>
          </w:p>
        </w:tc>
      </w:tr>
      <w:tr>
        <w:trPr>
          <w:trHeight w:val="320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3"/>
              <w:ind w:left="36"/>
              <w:jc w:val="left"/>
              <w:rPr>
                <w:sz w:val="14"/>
              </w:rPr>
            </w:pPr>
            <w:r>
              <w:rPr>
                <w:sz w:val="14"/>
              </w:rPr>
              <w:t>Resultado Nominal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-326.804,95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-316.978,61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-0,000%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sz w:val="14"/>
              </w:rPr>
              <w:t>-0,112%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1.833.624,26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1.718.324,67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rPr>
                <w:sz w:val="14"/>
              </w:rPr>
            </w:pPr>
            <w:r>
              <w:rPr>
                <w:w w:val="95"/>
                <w:sz w:val="14"/>
              </w:rPr>
              <w:t>0,607%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1.767.381,71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1.600.309,41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6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0,565%</w:t>
            </w:r>
          </w:p>
        </w:tc>
      </w:tr>
      <w:tr>
        <w:trPr>
          <w:trHeight w:val="314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7"/>
              <w:ind w:left="36"/>
              <w:jc w:val="left"/>
              <w:rPr>
                <w:sz w:val="14"/>
              </w:rPr>
            </w:pPr>
            <w:r>
              <w:rPr>
                <w:sz w:val="14"/>
              </w:rPr>
              <w:t>Dív.Pública Consolidada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55.843.242,87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54.164.154,09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sz w:val="14"/>
              </w:rPr>
              <w:t>0,011%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19,133%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55.189.368,53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51.719.022,14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14"/>
              </w:rPr>
            </w:pPr>
            <w:r>
              <w:rPr>
                <w:w w:val="95"/>
                <w:sz w:val="14"/>
              </w:rPr>
              <w:t>0,010%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rPr>
                <w:sz w:val="14"/>
              </w:rPr>
            </w:pPr>
            <w:r>
              <w:rPr>
                <w:w w:val="95"/>
                <w:sz w:val="14"/>
              </w:rPr>
              <w:t>18,270%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54.643.027,99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49.477.569,71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0,010%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17,477%</w:t>
            </w:r>
          </w:p>
        </w:tc>
      </w:tr>
      <w:tr>
        <w:trPr>
          <w:trHeight w:val="304" w:hRule="atLeast"/>
        </w:trPr>
        <w:tc>
          <w:tcPr>
            <w:tcW w:w="211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7"/>
              <w:ind w:left="36"/>
              <w:jc w:val="left"/>
              <w:rPr>
                <w:sz w:val="14"/>
              </w:rPr>
            </w:pPr>
            <w:r>
              <w:rPr>
                <w:sz w:val="14"/>
              </w:rPr>
              <w:t>Dív.Consolidada Líquida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22.136.102,33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21.470.516,32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0,004%</w:t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7,584%</w:t>
            </w:r>
          </w:p>
        </w:tc>
        <w:tc>
          <w:tcPr>
            <w:tcW w:w="1457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20.302.478,08</w:t>
            </w: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19.025.843,95</w:t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14"/>
              </w:rPr>
            </w:pPr>
            <w:r>
              <w:rPr>
                <w:w w:val="95"/>
                <w:sz w:val="14"/>
              </w:rPr>
              <w:t>0,004%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70"/>
              <w:rPr>
                <w:sz w:val="14"/>
              </w:rPr>
            </w:pPr>
            <w:r>
              <w:rPr>
                <w:w w:val="95"/>
                <w:sz w:val="14"/>
              </w:rPr>
              <w:t>6,721%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18.535.096,35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16.782.955,77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70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0,003%</w:t>
            </w:r>
          </w:p>
        </w:tc>
        <w:tc>
          <w:tcPr>
            <w:tcW w:w="76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70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5,928%</w:t>
            </w:r>
          </w:p>
        </w:tc>
      </w:tr>
      <w:tr>
        <w:trPr>
          <w:trHeight w:val="390" w:hRule="atLeast"/>
        </w:trPr>
        <w:tc>
          <w:tcPr>
            <w:tcW w:w="211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5" w:lineRule="auto" w:before="3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Receitas Primárias advindas de PPPs (IV)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749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1457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49" w:type="dxa"/>
            <w:tcBorders>
              <w:bottom w:val="nil"/>
            </w:tcBorders>
          </w:tcPr>
          <w:p>
            <w:pPr>
              <w:pStyle w:val="TableParagraph"/>
              <w:spacing w:before="132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132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54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  <w:tcBorders>
              <w:bottom w:val="nil"/>
            </w:tcBorders>
          </w:tcPr>
          <w:p>
            <w:pPr>
              <w:pStyle w:val="TableParagraph"/>
              <w:spacing w:before="132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76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32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</w:tr>
      <w:tr>
        <w:trPr>
          <w:trHeight w:val="389" w:hRule="atLeast"/>
        </w:trPr>
        <w:tc>
          <w:tcPr>
            <w:tcW w:w="211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5" w:lineRule="auto" w:before="34"/>
              <w:ind w:left="36" w:right="11"/>
              <w:jc w:val="left"/>
              <w:rPr>
                <w:sz w:val="14"/>
              </w:rPr>
            </w:pPr>
            <w:r>
              <w:rPr>
                <w:sz w:val="14"/>
              </w:rPr>
              <w:t>Despesas Primárias geradas por PPPs (V)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7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3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</w:tr>
      <w:tr>
        <w:trPr>
          <w:trHeight w:val="404" w:hRule="atLeast"/>
        </w:trPr>
        <w:tc>
          <w:tcPr>
            <w:tcW w:w="211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5" w:lineRule="auto" w:before="36"/>
              <w:ind w:left="36" w:right="317"/>
              <w:jc w:val="left"/>
              <w:rPr>
                <w:sz w:val="14"/>
              </w:rPr>
            </w:pPr>
            <w:r>
              <w:rPr>
                <w:sz w:val="14"/>
              </w:rPr>
              <w:t>Impacto do saldo das PPPs (VI)=(IV-V)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1457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49" w:type="dxa"/>
            <w:tcBorders>
              <w:top w:val="nil"/>
            </w:tcBorders>
          </w:tcPr>
          <w:p>
            <w:pPr>
              <w:pStyle w:val="TableParagraph"/>
              <w:spacing w:before="13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13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751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  <w:tc>
          <w:tcPr>
            <w:tcW w:w="76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1"/>
              <w:ind w:right="21"/>
              <w:rPr>
                <w:sz w:val="14"/>
              </w:rPr>
            </w:pPr>
            <w:r>
              <w:rPr>
                <w:w w:val="95"/>
                <w:sz w:val="14"/>
              </w:rPr>
              <w:t>0,000%</w:t>
            </w:r>
          </w:p>
        </w:tc>
      </w:tr>
    </w:tbl>
    <w:p>
      <w:pPr>
        <w:pStyle w:val="BodyText"/>
        <w:rPr>
          <w:sz w:val="1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3"/>
        <w:gridCol w:w="1457"/>
        <w:gridCol w:w="1455"/>
        <w:gridCol w:w="1498"/>
      </w:tblGrid>
      <w:tr>
        <w:trPr>
          <w:trHeight w:val="236" w:hRule="atLeast"/>
        </w:trPr>
        <w:tc>
          <w:tcPr>
            <w:tcW w:w="6523" w:type="dxa"/>
            <w:shd w:val="clear" w:color="auto" w:fill="F0F0F0"/>
          </w:tcPr>
          <w:p>
            <w:pPr>
              <w:pStyle w:val="TableParagraph"/>
              <w:spacing w:before="34"/>
              <w:ind w:left="2941" w:right="29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Variáveis</w:t>
            </w:r>
          </w:p>
        </w:tc>
        <w:tc>
          <w:tcPr>
            <w:tcW w:w="1457" w:type="dxa"/>
            <w:shd w:val="clear" w:color="auto" w:fill="F0F0F0"/>
          </w:tcPr>
          <w:p>
            <w:pPr>
              <w:pStyle w:val="TableParagraph"/>
              <w:spacing w:before="34"/>
              <w:ind w:left="226" w:right="1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1455" w:type="dxa"/>
            <w:shd w:val="clear" w:color="auto" w:fill="F0F0F0"/>
          </w:tcPr>
          <w:p>
            <w:pPr>
              <w:pStyle w:val="TableParagraph"/>
              <w:spacing w:before="34"/>
              <w:ind w:left="556" w:right="5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2022</w:t>
            </w:r>
          </w:p>
        </w:tc>
        <w:tc>
          <w:tcPr>
            <w:tcW w:w="1498" w:type="dxa"/>
            <w:shd w:val="clear" w:color="auto" w:fill="F0F0F0"/>
          </w:tcPr>
          <w:p>
            <w:pPr>
              <w:pStyle w:val="TableParagraph"/>
              <w:spacing w:before="34"/>
              <w:ind w:left="572" w:right="5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2023</w:t>
            </w:r>
          </w:p>
        </w:tc>
      </w:tr>
      <w:tr>
        <w:trPr>
          <w:trHeight w:val="245" w:hRule="atLeast"/>
        </w:trPr>
        <w:tc>
          <w:tcPr>
            <w:tcW w:w="65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Inflação Média (% anual) projetada com base em índice oficial de inflação</w:t>
            </w:r>
          </w:p>
        </w:tc>
        <w:tc>
          <w:tcPr>
            <w:tcW w:w="1457" w:type="dxa"/>
            <w:tcBorders>
              <w:bottom w:val="nil"/>
            </w:tcBorders>
          </w:tcPr>
          <w:p>
            <w:pPr>
              <w:pStyle w:val="TableParagraph"/>
              <w:spacing w:before="38"/>
              <w:ind w:right="28"/>
              <w:rPr>
                <w:sz w:val="14"/>
              </w:rPr>
            </w:pPr>
            <w:r>
              <w:rPr>
                <w:w w:val="95"/>
                <w:sz w:val="14"/>
              </w:rPr>
              <w:t>3,10</w:t>
            </w:r>
          </w:p>
        </w:tc>
        <w:tc>
          <w:tcPr>
            <w:tcW w:w="1455" w:type="dxa"/>
            <w:tcBorders>
              <w:bottom w:val="nil"/>
            </w:tcBorders>
          </w:tcPr>
          <w:p>
            <w:pPr>
              <w:pStyle w:val="TableParagraph"/>
              <w:spacing w:before="38"/>
              <w:ind w:right="28"/>
              <w:rPr>
                <w:sz w:val="14"/>
              </w:rPr>
            </w:pPr>
            <w:r>
              <w:rPr>
                <w:w w:val="95"/>
                <w:sz w:val="14"/>
              </w:rPr>
              <w:t>3,50</w:t>
            </w:r>
          </w:p>
        </w:tc>
        <w:tc>
          <w:tcPr>
            <w:tcW w:w="149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8"/>
              <w:ind w:right="79"/>
              <w:rPr>
                <w:sz w:val="14"/>
              </w:rPr>
            </w:pPr>
            <w:r>
              <w:rPr>
                <w:w w:val="95"/>
                <w:sz w:val="14"/>
              </w:rPr>
              <w:t>3,50</w:t>
            </w:r>
          </w:p>
        </w:tc>
      </w:tr>
      <w:tr>
        <w:trPr>
          <w:trHeight w:val="239" w:hRule="atLeast"/>
        </w:trPr>
        <w:tc>
          <w:tcPr>
            <w:tcW w:w="65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0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Projeção do PIB do Estado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28"/>
              <w:rPr>
                <w:sz w:val="14"/>
              </w:rPr>
            </w:pPr>
            <w:r>
              <w:rPr>
                <w:w w:val="95"/>
                <w:sz w:val="14"/>
              </w:rPr>
              <w:t>515.905.260.000,00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28"/>
              <w:rPr>
                <w:sz w:val="14"/>
              </w:rPr>
            </w:pPr>
            <w:r>
              <w:rPr>
                <w:w w:val="95"/>
                <w:sz w:val="14"/>
              </w:rPr>
              <w:t>533.961.940.000,00</w:t>
            </w: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3"/>
              <w:ind w:right="79"/>
              <w:rPr>
                <w:sz w:val="14"/>
              </w:rPr>
            </w:pPr>
            <w:r>
              <w:rPr>
                <w:w w:val="95"/>
                <w:sz w:val="14"/>
              </w:rPr>
              <w:t>552.659.600.000,00</w:t>
            </w:r>
          </w:p>
        </w:tc>
      </w:tr>
      <w:tr>
        <w:trPr>
          <w:trHeight w:val="284" w:hRule="atLeast"/>
        </w:trPr>
        <w:tc>
          <w:tcPr>
            <w:tcW w:w="652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0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Receita Corrente Líquida - RCL</w:t>
            </w:r>
          </w:p>
        </w:tc>
        <w:tc>
          <w:tcPr>
            <w:tcW w:w="1457" w:type="dxa"/>
            <w:tcBorders>
              <w:top w:val="nil"/>
            </w:tcBorders>
          </w:tcPr>
          <w:p>
            <w:pPr>
              <w:pStyle w:val="TableParagraph"/>
              <w:spacing w:before="33"/>
              <w:ind w:right="28"/>
              <w:rPr>
                <w:sz w:val="14"/>
              </w:rPr>
            </w:pPr>
            <w:r>
              <w:rPr>
                <w:w w:val="95"/>
                <w:sz w:val="14"/>
              </w:rPr>
              <w:t>291.866.898,10</w:t>
            </w:r>
          </w:p>
        </w:tc>
        <w:tc>
          <w:tcPr>
            <w:tcW w:w="1455" w:type="dxa"/>
            <w:tcBorders>
              <w:top w:val="nil"/>
            </w:tcBorders>
          </w:tcPr>
          <w:p>
            <w:pPr>
              <w:pStyle w:val="TableParagraph"/>
              <w:spacing w:before="33"/>
              <w:ind w:right="28"/>
              <w:rPr>
                <w:sz w:val="14"/>
              </w:rPr>
            </w:pPr>
            <w:r>
              <w:rPr>
                <w:w w:val="95"/>
                <w:sz w:val="14"/>
              </w:rPr>
              <w:t>302.082.239,53</w:t>
            </w:r>
          </w:p>
        </w:tc>
        <w:tc>
          <w:tcPr>
            <w:tcW w:w="149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3"/>
              <w:ind w:right="79"/>
              <w:rPr>
                <w:sz w:val="14"/>
              </w:rPr>
            </w:pPr>
            <w:r>
              <w:rPr>
                <w:w w:val="95"/>
                <w:sz w:val="14"/>
              </w:rPr>
              <w:t>312.655.118,29</w:t>
            </w:r>
          </w:p>
        </w:tc>
      </w:tr>
    </w:tbl>
    <w:sectPr>
      <w:type w:val="continuous"/>
      <w:pgSz w:w="16840" w:h="11900" w:orient="landscape"/>
      <w:pgMar w:top="380" w:bottom="280" w:left="2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sz w:val="14"/>
      <w:szCs w:val="1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>
      <w:spacing w:before="69"/>
      <w:jc w:val="right"/>
    </w:pPr>
    <w:rPr>
      <w:rFonts w:ascii="Arial" w:hAnsi="Arial" w:eastAsia="Arial" w:cs="Arial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65458818091</dc:creator>
  <dc:title>03 Metas Anuais LDO 2021</dc:title>
  <dcterms:created xsi:type="dcterms:W3CDTF">2020-08-14T19:12:10Z</dcterms:created>
  <dcterms:modified xsi:type="dcterms:W3CDTF">2020-08-14T19:12:10Z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2020-08-14T00:00:00Z</vt:filetime>
  </property>
</Properties>
</file>